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92DF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9457"/>
      <w:bookmarkStart w:id="1" w:name="_Toc20718"/>
      <w:r>
        <w:rPr>
          <w:rFonts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</w:rPr>
        <w:t>1</w:t>
      </w:r>
      <w:r>
        <w:rPr>
          <w:rFonts w:ascii="Times New Roman" w:hAnsi="Times New Roman" w:eastAsia="宋体" w:cs="Times New Roman"/>
          <w:kern w:val="2"/>
          <w:sz w:val="28"/>
        </w:rPr>
        <w:t>：</w:t>
      </w:r>
      <w:r>
        <w:rPr>
          <w:rFonts w:hint="eastAsia" w:ascii="Times New Roman" w:hAnsi="Times New Roman" w:eastAsia="宋体" w:cs="Times New Roman"/>
          <w:kern w:val="2"/>
          <w:sz w:val="28"/>
        </w:rPr>
        <w:t>招标公告附表</w:t>
      </w:r>
      <w:bookmarkEnd w:id="0"/>
      <w:bookmarkEnd w:id="1"/>
    </w:p>
    <w:tbl>
      <w:tblPr>
        <w:tblStyle w:val="6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633"/>
        <w:gridCol w:w="624"/>
        <w:gridCol w:w="851"/>
        <w:gridCol w:w="1383"/>
        <w:gridCol w:w="650"/>
        <w:gridCol w:w="514"/>
        <w:gridCol w:w="5215"/>
        <w:gridCol w:w="649"/>
        <w:gridCol w:w="765"/>
        <w:gridCol w:w="1048"/>
        <w:gridCol w:w="824"/>
        <w:gridCol w:w="592"/>
      </w:tblGrid>
      <w:tr w14:paraId="4150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4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9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包件号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2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包件名称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2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物资材料名称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F4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7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0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A1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F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交货时间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9F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交货地点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D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交货条件及状态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3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收货单位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0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0B1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A8F0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8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DT01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C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电梯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4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41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公共交通型重载扶梯，倾角27.3度，H=7.18m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C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E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8A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1.在中华人民共和国境内依法注册，具有法人资格的制造商；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2.投标人须提供近三年（2022年-2024年）经会计师事务所或审计机构审计的符合国家规定的财务会计报表；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3.资质要求：投标人须具有有效的乘客电梯B级及以上特种设备生产许可证、有效的自动扶梯特种设备生产许可证，许可项目为电梯制造（含安装、修理、改造），范围包含本次招标的产品类别。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供货业绩要求：投标人须提供近五年内（自2020年9月至投标截止日，以合同签订时间为准）铁路客站、机场、地铁等公共交通工程项目供货业绩，须提供对应的中标通知书、合同协议书、设备进场验收证书（或验收文件等）及对应用户出具的运行良好的证明材料（须加盖使用单位印章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5.投标人须提供投标产品（自动扶梯提升高度不小于本次招标最大提升高度11.10m；电梯额定载重不小于1600kg）的整机型式试验证书和报告：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6.其他要求：本包件招标不接受联合体、代理商投标，不接受授权制造商（OEM）产品投标。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6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2025年10月至工程结束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D4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7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完好，交钥匙工程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8BE7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1C3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DC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C436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ACA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C5C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6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515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公共交通型重载扶梯，倾角27.3度，H=7.25m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C7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24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44E7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49F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EF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A93E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BBE3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C03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96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E2EF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5AA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13C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91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19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公共交通型重载扶梯，倾角27.3度，H=9.00m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E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9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1C90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B1C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13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AC0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663C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DAC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65B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EA3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A26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614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5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自动扶梯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25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公共交通型重载扶梯，倾角27.3度，H=9.09m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7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8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12BC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A74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98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5F9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32F0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054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23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007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868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51F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4C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11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额定载重1.6t，2层2站，非通透型轿厢，H=9.00m，贯通门，设对重安全钳。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5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F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CC6D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5EE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37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036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A982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B11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8B2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088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8D9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194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5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F1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额定载重1.6t，2层2站，通透型轿厢，H=7.16m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A1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4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B7B1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C02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F4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478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DA50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D64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16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978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533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BD0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76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79A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额定载重1.6t，2层2站，通透型轿厢，H=7.25m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1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AF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DDC2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1F1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7C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5CF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81F7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903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95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E71F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EDE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0A6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3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C93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额定载重1.6t，2层2站，非通透型轿厢，H=7.25m，贯通门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E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1E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B53A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602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18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BA2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BFCA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7CC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16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ECA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6FE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244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4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B449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额定载重1.6t，2层2站，通透型轿厢，H=9.00m，贯通门，设对重安全钳。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0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A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C401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452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23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48D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1855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4AB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70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A24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CA5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6E4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6B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476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额定载重1.6t，2层2站，通透型轿厢，H=9.09m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E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B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5C52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94A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7C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E60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AF34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1FC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50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800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295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D54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3F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38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额定载重1.6t，4层4站，非通透型轿厢，H=11.10m，含电梯状态监视系统1套。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4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5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FADA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659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6C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C6B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BE1D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31C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AB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E14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C3B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CC7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1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无障碍电梯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CC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额定载重1.6t，4层4站，非通透型轿厢，H=11.10m，含电梯状态监视系统共1套。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D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7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51DF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9E9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0B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衡水南站</w:t>
            </w: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D52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80BF">
            <w:pPr>
              <w:widowControl/>
              <w:jc w:val="center"/>
              <w:textAlignment w:val="center"/>
              <w:rPr>
                <w:rFonts w:ascii="方正书宋简体" w:hAnsi="方正书宋简体" w:eastAsia="方正书宋简体" w:cs="方正书宋简体"/>
                <w:color w:val="000000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color w:val="000000"/>
                <w:kern w:val="0"/>
                <w:sz w:val="20"/>
                <w:szCs w:val="20"/>
                <w:lang w:bidi="ar"/>
              </w:rPr>
              <w:t>衡水南站项目部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01D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08AE9ED8"/>
    <w:p w14:paraId="2E10710D">
      <w:pPr>
        <w:widowControl/>
        <w:spacing w:line="240" w:lineRule="auto"/>
        <w:jc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7CDDC7C">
      <w:pPr>
        <w:pStyle w:val="4"/>
        <w:tabs>
          <w:tab w:val="left" w:pos="6420"/>
        </w:tabs>
        <w:rPr>
          <w:lang w:eastAsia="zh-CN"/>
        </w:rPr>
      </w:pPr>
      <w:r>
        <w:rPr>
          <w:lang w:eastAsia="zh-CN"/>
        </w:rPr>
        <w:tab/>
      </w:r>
    </w:p>
    <w:p w14:paraId="3F9055F1">
      <w:pPr>
        <w:pStyle w:val="3"/>
      </w:pPr>
    </w:p>
    <w:p w14:paraId="1F3DD0AD">
      <w:pPr>
        <w:pStyle w:val="4"/>
        <w:sectPr>
          <w:footerReference r:id="rId6" w:type="first"/>
          <w:footerReference r:id="rId5" w:type="default"/>
          <w:pgSz w:w="16838" w:h="11906" w:orient="landscape"/>
          <w:pgMar w:top="1080" w:right="1440" w:bottom="1080" w:left="1440" w:header="851" w:footer="992" w:gutter="0"/>
          <w:pgNumType w:fmt="decimal"/>
          <w:cols w:space="425" w:num="1"/>
          <w:docGrid w:linePitch="312" w:charSpace="0"/>
        </w:sectPr>
      </w:pPr>
    </w:p>
    <w:p w14:paraId="217B3353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2" w:name="_Toc501460596"/>
      <w:bookmarkStart w:id="3" w:name="_Toc3598"/>
      <w:bookmarkStart w:id="4" w:name="_Toc16584"/>
      <w:r>
        <w:rPr>
          <w:rFonts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</w:rPr>
        <w:t>2</w:t>
      </w:r>
      <w:r>
        <w:rPr>
          <w:rFonts w:ascii="Times New Roman" w:hAnsi="Times New Roman" w:eastAsia="宋体" w:cs="Times New Roman"/>
          <w:kern w:val="2"/>
          <w:sz w:val="28"/>
        </w:rPr>
        <w:t>：</w:t>
      </w:r>
      <w:bookmarkEnd w:id="2"/>
      <w:r>
        <w:rPr>
          <w:rFonts w:hint="eastAsia" w:ascii="Times New Roman" w:hAnsi="Times New Roman" w:eastAsia="宋体" w:cs="Times New Roman"/>
          <w:kern w:val="2"/>
          <w:sz w:val="28"/>
        </w:rPr>
        <w:t>支付方式</w:t>
      </w:r>
      <w:bookmarkEnd w:id="3"/>
      <w:bookmarkEnd w:id="4"/>
    </w:p>
    <w:p w14:paraId="0E6CACA8">
      <w:pPr>
        <w:widowControl/>
        <w:jc w:val="left"/>
        <w:rPr>
          <w:rFonts w:hint="eastAsia" w:ascii="宋体" w:hAnsi="宋体" w:cs="宋体"/>
          <w:szCs w:val="21"/>
        </w:rPr>
      </w:pPr>
    </w:p>
    <w:p w14:paraId="77AB8D54">
      <w:pPr>
        <w:widowControl/>
        <w:wordWrap w:val="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须在招标文件发售期间通过中铁物总国际招标平台（https://bids.crmsc.com.cn/）完成汇款（具体缴费流程可咨询招标代理人员15131159711、13161866075）。完成相应包件支付后，将“汇款凭证”上传至北京工程建设公共资源交易平台，通过北京工程建设公共资源交易平台下载招标文件（电子版）。</w:t>
      </w:r>
    </w:p>
    <w:p w14:paraId="0B59CE39">
      <w:pPr>
        <w:widowControl/>
        <w:wordWrap w:val="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至664382738@qq.com，并电话与代理机构联系人进行确认。</w:t>
      </w:r>
    </w:p>
    <w:p w14:paraId="0F491A2E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br w:type="textWrapping"/>
      </w:r>
    </w:p>
    <w:p w14:paraId="027E1667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代理机构：中铁物总国际招标有限公司</w:t>
      </w:r>
    </w:p>
    <w:p w14:paraId="3A2E3008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  址：北京市丰台区凤凰嘴街鼎兴大厦A座11层</w:t>
      </w:r>
    </w:p>
    <w:p w14:paraId="18F568BF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联系人：王思宇、刘宗凯</w:t>
      </w:r>
    </w:p>
    <w:p w14:paraId="19C01698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话：13161866075、15131159711</w:t>
      </w:r>
    </w:p>
    <w:p w14:paraId="792F8953">
      <w:pPr>
        <w:widowControl/>
        <w:jc w:val="left"/>
        <w:rPr>
          <w:rFonts w:hint="eastAsia" w:ascii="宋体" w:hAnsi="宋体" w:cs="宋体"/>
          <w:szCs w:val="21"/>
        </w:rPr>
      </w:pPr>
    </w:p>
    <w:p w14:paraId="2FB439A0">
      <w:pPr>
        <w:widowControl/>
        <w:jc w:val="left"/>
        <w:rPr>
          <w:rFonts w:hint="eastAsia" w:ascii="宋体" w:hAnsi="宋体" w:cs="宋体"/>
          <w:szCs w:val="21"/>
        </w:rPr>
      </w:pPr>
    </w:p>
    <w:p w14:paraId="30138E5C">
      <w:pPr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br w:type="page"/>
      </w:r>
    </w:p>
    <w:p w14:paraId="33EC91D0"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新建雄商高铁衡水枢纽工程</w:t>
      </w:r>
    </w:p>
    <w:p w14:paraId="79493416"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bookmarkStart w:id="5" w:name="_GoBack"/>
      <w:bookmarkEnd w:id="5"/>
      <w:r>
        <w:rPr>
          <w:rFonts w:hint="eastAsia" w:ascii="宋体" w:hAnsi="宋体" w:cs="宋体"/>
          <w:sz w:val="44"/>
          <w:szCs w:val="44"/>
        </w:rPr>
        <w:t>建管甲供物资2025年度第一批次（电梯）异议提出方式及主要内容</w:t>
      </w:r>
    </w:p>
    <w:p w14:paraId="086039F0">
      <w:pPr>
        <w:snapToGrid w:val="0"/>
        <w:rPr>
          <w:rFonts w:hint="eastAsia" w:ascii="仿宋_GB2312" w:hAnsi="仿宋" w:eastAsia="仿宋_GB2312" w:cs="仿宋"/>
          <w:sz w:val="28"/>
          <w:szCs w:val="28"/>
        </w:rPr>
      </w:pPr>
    </w:p>
    <w:p w14:paraId="6E9B6F19">
      <w:pPr>
        <w:snapToGrid w:val="0"/>
        <w:ind w:left="567" w:leftChars="27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pacing w:val="140"/>
          <w:kern w:val="0"/>
          <w:sz w:val="28"/>
          <w:szCs w:val="28"/>
          <w:fitText w:val="3080" w:id="2032493060"/>
        </w:rPr>
        <w:t>招标异议地</w:t>
      </w:r>
      <w:r>
        <w:rPr>
          <w:rFonts w:hint="eastAsia" w:ascii="仿宋_GB2312" w:hAnsi="仿宋" w:eastAsia="仿宋_GB2312" w:cs="仿宋"/>
          <w:spacing w:val="0"/>
          <w:kern w:val="0"/>
          <w:sz w:val="28"/>
          <w:szCs w:val="28"/>
          <w:fitText w:val="3080" w:id="2032493060"/>
        </w:rPr>
        <w:t>址</w:t>
      </w:r>
      <w:r>
        <w:rPr>
          <w:rFonts w:hint="eastAsia" w:ascii="仿宋_GB2312" w:hAnsi="仿宋" w:eastAsia="仿宋_GB2312" w:cs="仿宋"/>
          <w:sz w:val="28"/>
          <w:szCs w:val="28"/>
        </w:rPr>
        <w:t>：河北省石家庄市新华路100号</w:t>
      </w:r>
    </w:p>
    <w:p w14:paraId="5C01F3CA">
      <w:pPr>
        <w:snapToGrid w:val="0"/>
        <w:ind w:left="567" w:leftChars="27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pacing w:val="93"/>
          <w:kern w:val="0"/>
          <w:sz w:val="28"/>
          <w:szCs w:val="28"/>
          <w:fitText w:val="3080" w:id="937895283"/>
        </w:rPr>
        <w:t>招标异议联系</w:t>
      </w:r>
      <w:r>
        <w:rPr>
          <w:rFonts w:hint="eastAsia" w:ascii="仿宋_GB2312" w:hAnsi="仿宋" w:eastAsia="仿宋_GB2312" w:cs="仿宋"/>
          <w:spacing w:val="2"/>
          <w:kern w:val="0"/>
          <w:sz w:val="28"/>
          <w:szCs w:val="28"/>
          <w:fitText w:val="3080" w:id="937895283"/>
        </w:rPr>
        <w:t>人</w:t>
      </w:r>
      <w:r>
        <w:rPr>
          <w:rFonts w:hint="eastAsia" w:ascii="仿宋_GB2312" w:hAnsi="仿宋" w:eastAsia="仿宋_GB2312" w:cs="仿宋"/>
          <w:sz w:val="28"/>
          <w:szCs w:val="28"/>
        </w:rPr>
        <w:t>：徐航</w:t>
      </w:r>
    </w:p>
    <w:p w14:paraId="51F260D4">
      <w:pPr>
        <w:snapToGrid w:val="0"/>
        <w:ind w:left="567" w:leftChars="27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pacing w:val="140"/>
          <w:kern w:val="0"/>
          <w:sz w:val="28"/>
          <w:szCs w:val="28"/>
          <w:fitText w:val="3080" w:id="1873425696"/>
        </w:rPr>
        <w:t>招标异议电</w:t>
      </w:r>
      <w:r>
        <w:rPr>
          <w:rFonts w:hint="eastAsia" w:ascii="仿宋_GB2312" w:hAnsi="仿宋" w:eastAsia="仿宋_GB2312" w:cs="仿宋"/>
          <w:spacing w:val="0"/>
          <w:kern w:val="0"/>
          <w:sz w:val="28"/>
          <w:szCs w:val="28"/>
          <w:fitText w:val="3080" w:id="1873425696"/>
        </w:rPr>
        <w:t>话</w:t>
      </w:r>
      <w:r>
        <w:rPr>
          <w:rFonts w:hint="eastAsia" w:ascii="仿宋_GB2312" w:hAnsi="仿宋" w:eastAsia="仿宋_GB2312" w:cs="仿宋"/>
          <w:sz w:val="28"/>
          <w:szCs w:val="28"/>
        </w:rPr>
        <w:t>：0311-87922724、18713153988</w:t>
      </w:r>
    </w:p>
    <w:p w14:paraId="5A7973B0">
      <w:pPr>
        <w:snapToGrid w:val="0"/>
        <w:ind w:left="567" w:leftChars="27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pacing w:val="7"/>
          <w:kern w:val="0"/>
          <w:sz w:val="28"/>
          <w:szCs w:val="28"/>
          <w:fitText w:val="3080" w:id="2123463067"/>
        </w:rPr>
        <w:t>招标异议联系传真/邮</w:t>
      </w:r>
      <w:r>
        <w:rPr>
          <w:rFonts w:hint="eastAsia" w:ascii="仿宋_GB2312" w:hAnsi="仿宋" w:eastAsia="仿宋_GB2312" w:cs="仿宋"/>
          <w:spacing w:val="3"/>
          <w:kern w:val="0"/>
          <w:sz w:val="28"/>
          <w:szCs w:val="28"/>
          <w:fitText w:val="3080" w:id="2123463067"/>
        </w:rPr>
        <w:t>箱</w:t>
      </w:r>
      <w:r>
        <w:rPr>
          <w:rFonts w:hint="eastAsia" w:ascii="仿宋_GB2312" w:hAnsi="仿宋" w:eastAsia="仿宋_GB2312" w:cs="仿宋"/>
          <w:sz w:val="28"/>
          <w:szCs w:val="28"/>
        </w:rPr>
        <w:t>：sjzxmbwzb@163.com</w:t>
      </w:r>
    </w:p>
    <w:p w14:paraId="00581C81">
      <w:pPr>
        <w:snapToGrid w:val="0"/>
        <w:rPr>
          <w:rFonts w:hint="eastAsia" w:ascii="仿宋_GB2312" w:hAnsi="仿宋" w:eastAsia="仿宋_GB2312" w:cs="仿宋"/>
          <w:sz w:val="28"/>
          <w:szCs w:val="28"/>
        </w:rPr>
      </w:pPr>
    </w:p>
    <w:p w14:paraId="4F4A341D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异议函件应包括以下主要内容:</w:t>
      </w:r>
    </w:p>
    <w:p w14:paraId="6CBE1FAA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（一）异议人的名称、地址、联系人及联系电话、电子邮箱等有效联系方式；</w:t>
      </w:r>
    </w:p>
    <w:p w14:paraId="54D1B0E5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（二）异议事项涉及的项目名称、基本事实及相关证明材料；</w:t>
      </w:r>
    </w:p>
    <w:p w14:paraId="0B7C3004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（三）异议请求及主张；</w:t>
      </w:r>
    </w:p>
    <w:p w14:paraId="364AAF5E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（四）异议人应提供与物资采购活动存在利害关系的证明材料；</w:t>
      </w:r>
    </w:p>
    <w:p w14:paraId="6A367F8A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（五）异议函件有关材料是外文的，异议人应同时提供其中文译本，并附相关的真实性证明；</w:t>
      </w:r>
    </w:p>
    <w:p w14:paraId="47C7BB88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（六）异议人已向有关行政监督部门投诉并被受理的应一并说明。</w:t>
      </w:r>
    </w:p>
    <w:p w14:paraId="5472278C">
      <w:pPr>
        <w:snapToGrid w:val="0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</w:p>
    <w:p w14:paraId="17CCA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32922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ADF3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ADF3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EC3F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4319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3D64319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59A6"/>
    <w:rsid w:val="4E3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2025-09-17T00:39:00Z</dcterms:created>
  <dc:creator>凯</dc:creator>
  <cp:lastModifiedBy>凯</cp:lastModifiedBy>
  <dcterms:modified xsi:type="dcterms:W3CDTF">2025-09-17T00:46:45Z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053884CB4B404B549757FB9BED3282B5_11</vt:lpwstr>
  </property>
  <property fmtid="{D5CDD505-2E9C-101B-9397-08002B2CF9AE}" pid="4" name="KSOTemplateDocerSaveRecord">
    <vt:lpwstr>eyJoZGlkIjoiMDQwYzAzMDMwNTQ1OTZhYzIxMWFhYjI5NTEwMTUyODUiLCJ1c2VySWQiOiI1MDkyMjQ1MjAifQ==</vt:lpwstr>
  </property>
</Properties>
</file>